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4A0840" w:rsidTr="00F51AAE">
        <w:tc>
          <w:tcPr>
            <w:tcW w:w="9209" w:type="dxa"/>
            <w:gridSpan w:val="4"/>
          </w:tcPr>
          <w:p w:rsidR="004A0840" w:rsidRDefault="004A0840" w:rsidP="00F51AAE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 w:rsidR="00772F40">
              <w:rPr>
                <w:b/>
                <w:sz w:val="20"/>
                <w:szCs w:val="20"/>
              </w:rPr>
              <w:t xml:space="preserve"> – Template 3</w:t>
            </w:r>
          </w:p>
          <w:p w:rsidR="004A0840" w:rsidRPr="00B25405" w:rsidRDefault="00050131" w:rsidP="00F5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050</w:t>
            </w:r>
          </w:p>
        </w:tc>
      </w:tr>
      <w:tr w:rsidR="004A0840" w:rsidTr="00F51AAE">
        <w:tc>
          <w:tcPr>
            <w:tcW w:w="3256" w:type="dxa"/>
            <w:tcBorders>
              <w:bottom w:val="single" w:sz="4" w:space="0" w:color="auto"/>
            </w:tcBorders>
          </w:tcPr>
          <w:p w:rsidR="004A0840" w:rsidRDefault="00772F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name:</w:t>
            </w:r>
          </w:p>
          <w:p w:rsidR="004A0840" w:rsidRDefault="00772F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Woodlands, Alston Hall and Leyland Learning centre (BBR 049/054)</w:t>
            </w:r>
          </w:p>
          <w:p w:rsidR="004A0840" w:rsidRDefault="004A0840" w:rsidP="00F51AAE">
            <w:pPr>
              <w:rPr>
                <w:sz w:val="20"/>
                <w:szCs w:val="20"/>
              </w:rPr>
            </w:pPr>
          </w:p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4A0840" w:rsidRPr="00FB26CF" w:rsidRDefault="00A81137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agreed savings target of £6m has already been built into the various property related budgets and work is ongoing to deliver this by the end of April 2018.</w:t>
            </w:r>
            <w:r w:rsidR="00E40C57">
              <w:rPr>
                <w:sz w:val="20"/>
                <w:szCs w:val="20"/>
              </w:rPr>
              <w:t xml:space="preserve"> </w:t>
            </w:r>
            <w:r w:rsidR="00E40C57" w:rsidRPr="003C651D">
              <w:rPr>
                <w:sz w:val="20"/>
                <w:szCs w:val="20"/>
              </w:rPr>
              <w:t xml:space="preserve"> </w:t>
            </w:r>
            <w:r w:rsidR="005B233E">
              <w:rPr>
                <w:sz w:val="20"/>
                <w:szCs w:val="20"/>
              </w:rPr>
              <w:t>This proposal contribu</w:t>
            </w:r>
            <w:r w:rsidR="00586FD8">
              <w:rPr>
                <w:sz w:val="20"/>
                <w:szCs w:val="20"/>
              </w:rPr>
              <w:t xml:space="preserve">ted to this savings programme. </w:t>
            </w:r>
          </w:p>
        </w:tc>
      </w:tr>
      <w:tr w:rsidR="004A0840" w:rsidTr="00F51AAE">
        <w:tc>
          <w:tcPr>
            <w:tcW w:w="3256" w:type="dxa"/>
            <w:tcBorders>
              <w:bottom w:val="nil"/>
            </w:tcBorders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4A0840" w:rsidTr="00F51AAE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A0840" w:rsidRPr="00084304" w:rsidRDefault="004A0840" w:rsidP="00F51AAE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0E077B" w:rsidTr="00F51AAE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E077B" w:rsidRPr="004D588F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-0.255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-0.383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-0.375</w:t>
            </w:r>
          </w:p>
        </w:tc>
      </w:tr>
      <w:tr w:rsidR="000E077B" w:rsidTr="0098429D">
        <w:tc>
          <w:tcPr>
            <w:tcW w:w="3256" w:type="dxa"/>
            <w:shd w:val="clear" w:color="auto" w:fill="auto"/>
          </w:tcPr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</w:tcPr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-0.255</w:t>
            </w:r>
          </w:p>
        </w:tc>
        <w:tc>
          <w:tcPr>
            <w:tcW w:w="1843" w:type="dxa"/>
            <w:shd w:val="clear" w:color="auto" w:fill="auto"/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-0.383</w:t>
            </w:r>
          </w:p>
        </w:tc>
        <w:tc>
          <w:tcPr>
            <w:tcW w:w="2126" w:type="dxa"/>
            <w:shd w:val="clear" w:color="auto" w:fill="auto"/>
          </w:tcPr>
          <w:p w:rsidR="000E077B" w:rsidRPr="00877382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-0.375</w:t>
            </w:r>
          </w:p>
        </w:tc>
      </w:tr>
      <w:tr w:rsidR="000E077B" w:rsidTr="0098429D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077B" w:rsidRPr="001774BD" w:rsidRDefault="000E077B" w:rsidP="000E077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</w:tr>
      <w:tr w:rsidR="000E077B" w:rsidTr="0098429D">
        <w:tc>
          <w:tcPr>
            <w:tcW w:w="3256" w:type="dxa"/>
            <w:tcBorders>
              <w:right w:val="single" w:sz="4" w:space="0" w:color="auto"/>
            </w:tcBorders>
          </w:tcPr>
          <w:p w:rsidR="000E077B" w:rsidRPr="00EA1D7C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0.108</w:t>
            </w:r>
          </w:p>
        </w:tc>
        <w:tc>
          <w:tcPr>
            <w:tcW w:w="1843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</w:tr>
      <w:tr w:rsidR="000E077B" w:rsidTr="0098429D">
        <w:tc>
          <w:tcPr>
            <w:tcW w:w="3256" w:type="dxa"/>
            <w:tcBorders>
              <w:right w:val="single" w:sz="4" w:space="0" w:color="auto"/>
            </w:tcBorders>
          </w:tcPr>
          <w:p w:rsidR="000E077B" w:rsidRPr="00EA1D7C" w:rsidRDefault="000E077B" w:rsidP="000E077B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F51AAE">
        <w:tc>
          <w:tcPr>
            <w:tcW w:w="3256" w:type="dxa"/>
            <w:tcBorders>
              <w:right w:val="single" w:sz="4" w:space="0" w:color="auto"/>
            </w:tcBorders>
          </w:tcPr>
          <w:p w:rsidR="000E077B" w:rsidRPr="00EA1D7C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0E077B" w:rsidTr="0098429D">
        <w:tc>
          <w:tcPr>
            <w:tcW w:w="3256" w:type="dxa"/>
            <w:shd w:val="clear" w:color="auto" w:fill="auto"/>
          </w:tcPr>
          <w:p w:rsidR="000E077B" w:rsidRPr="004D588F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  <w:shd w:val="clear" w:color="auto" w:fill="auto"/>
          </w:tcPr>
          <w:p w:rsidR="000E077B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EA1D7C" w:rsidRDefault="000E077B" w:rsidP="000E0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-0.381</w:t>
            </w:r>
          </w:p>
        </w:tc>
      </w:tr>
      <w:tr w:rsidR="000E077B" w:rsidTr="0098429D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E077B" w:rsidRPr="00F26FCF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E077B" w:rsidTr="0098429D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E077B" w:rsidRPr="00F26FCF" w:rsidRDefault="000E077B" w:rsidP="000E077B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-0.147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E077B" w:rsidRPr="00877382" w:rsidRDefault="000E077B" w:rsidP="000E077B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-0.381</w:t>
            </w:r>
          </w:p>
        </w:tc>
      </w:tr>
      <w:tr w:rsidR="000E077B" w:rsidTr="00F51AAE">
        <w:tc>
          <w:tcPr>
            <w:tcW w:w="3256" w:type="dxa"/>
            <w:shd w:val="clear" w:color="auto" w:fill="auto"/>
          </w:tcPr>
          <w:p w:rsidR="000E077B" w:rsidRPr="00B25405" w:rsidRDefault="000E077B" w:rsidP="000E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E077B" w:rsidRPr="002B630A" w:rsidRDefault="000E077B" w:rsidP="000E077B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A0840" w:rsidTr="00F51AAE">
        <w:tc>
          <w:tcPr>
            <w:tcW w:w="3256" w:type="dxa"/>
          </w:tcPr>
          <w:p w:rsidR="004A0840" w:rsidRDefault="004A0840" w:rsidP="00F51AAE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4A0840" w:rsidRPr="00B25405" w:rsidRDefault="004A0840" w:rsidP="00F51AA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5B233E" w:rsidRDefault="005B233E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the closure of Woodlands, Alston Hall and Leyland Learning </w:t>
            </w:r>
            <w:r w:rsidR="00EB7B09">
              <w:rPr>
                <w:sz w:val="20"/>
                <w:szCs w:val="20"/>
              </w:rPr>
              <w:t>Centre.</w:t>
            </w:r>
            <w:r>
              <w:rPr>
                <w:sz w:val="20"/>
                <w:szCs w:val="20"/>
              </w:rPr>
              <w:t xml:space="preserve">  </w:t>
            </w:r>
          </w:p>
          <w:p w:rsidR="005B233E" w:rsidRDefault="005B233E" w:rsidP="004F621C">
            <w:pPr>
              <w:rPr>
                <w:sz w:val="20"/>
                <w:szCs w:val="20"/>
              </w:rPr>
            </w:pPr>
          </w:p>
          <w:p w:rsidR="005B233E" w:rsidRDefault="005B233E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proposed envisaged that Alston Hall will close </w:t>
            </w:r>
            <w:r w:rsidR="00DB6EC9">
              <w:rPr>
                <w:sz w:val="20"/>
                <w:szCs w:val="20"/>
              </w:rPr>
              <w:t>31</w:t>
            </w:r>
            <w:r w:rsidR="00DB6EC9" w:rsidRPr="005B233E">
              <w:rPr>
                <w:sz w:val="20"/>
                <w:szCs w:val="20"/>
                <w:vertAlign w:val="superscript"/>
              </w:rPr>
              <w:t>st</w:t>
            </w:r>
            <w:r w:rsidR="00DB6EC9">
              <w:rPr>
                <w:sz w:val="20"/>
                <w:szCs w:val="20"/>
              </w:rPr>
              <w:t xml:space="preserve"> December</w:t>
            </w:r>
            <w:r>
              <w:rPr>
                <w:sz w:val="20"/>
                <w:szCs w:val="20"/>
              </w:rPr>
              <w:t xml:space="preserve"> 2015. </w:t>
            </w:r>
          </w:p>
          <w:p w:rsidR="005B233E" w:rsidRDefault="005B233E" w:rsidP="004F621C">
            <w:pPr>
              <w:rPr>
                <w:sz w:val="20"/>
                <w:szCs w:val="20"/>
              </w:rPr>
            </w:pPr>
          </w:p>
          <w:p w:rsidR="005B233E" w:rsidRDefault="005B233E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proposed that Woodlands and the Leyland Learning Centre will </w:t>
            </w:r>
            <w:r w:rsidR="00EB7B09">
              <w:rPr>
                <w:sz w:val="20"/>
                <w:szCs w:val="20"/>
              </w:rPr>
              <w:t>close by</w:t>
            </w:r>
            <w:r>
              <w:rPr>
                <w:sz w:val="20"/>
                <w:szCs w:val="20"/>
              </w:rPr>
              <w:t xml:space="preserve"> 31</w:t>
            </w:r>
            <w:r w:rsidRPr="005B233E">
              <w:rPr>
                <w:sz w:val="20"/>
                <w:szCs w:val="20"/>
                <w:vertAlign w:val="superscript"/>
              </w:rPr>
              <w:t>st</w:t>
            </w:r>
            <w:r w:rsidR="00656DE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arch</w:t>
            </w:r>
            <w:r w:rsidR="00AB5B82">
              <w:rPr>
                <w:sz w:val="20"/>
                <w:szCs w:val="20"/>
              </w:rPr>
              <w:t xml:space="preserve"> 2017 at the </w:t>
            </w:r>
            <w:r w:rsidR="00EB7B09">
              <w:rPr>
                <w:sz w:val="20"/>
                <w:szCs w:val="20"/>
              </w:rPr>
              <w:t xml:space="preserve">latest. </w:t>
            </w:r>
          </w:p>
          <w:p w:rsidR="00DB6EC9" w:rsidRDefault="00DB6EC9" w:rsidP="004F621C">
            <w:pPr>
              <w:rPr>
                <w:sz w:val="20"/>
                <w:szCs w:val="20"/>
              </w:rPr>
            </w:pPr>
          </w:p>
          <w:p w:rsidR="00DB6EC9" w:rsidRDefault="00AB5B82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</w:t>
            </w:r>
            <w:r w:rsidR="00DB6EC9">
              <w:rPr>
                <w:sz w:val="20"/>
                <w:szCs w:val="20"/>
              </w:rPr>
              <w:t>Investment of £3</w:t>
            </w:r>
            <w:r w:rsidR="00656DED">
              <w:rPr>
                <w:sz w:val="20"/>
                <w:szCs w:val="20"/>
              </w:rPr>
              <w:t>.</w:t>
            </w:r>
            <w:r w:rsidR="00DB6EC9">
              <w:rPr>
                <w:sz w:val="20"/>
                <w:szCs w:val="20"/>
              </w:rPr>
              <w:t>6m in County Hall:</w:t>
            </w:r>
            <w:r w:rsidR="00EB7B09">
              <w:rPr>
                <w:sz w:val="20"/>
                <w:szCs w:val="20"/>
              </w:rPr>
              <w:br/>
            </w:r>
          </w:p>
          <w:p w:rsidR="00DB6EC9" w:rsidRDefault="003C651D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£1.4m for the develop</w:t>
            </w:r>
            <w:r w:rsidR="00DB6EC9">
              <w:rPr>
                <w:sz w:val="20"/>
                <w:szCs w:val="20"/>
              </w:rPr>
              <w:t>ment of the</w:t>
            </w:r>
            <w:r w:rsidR="00AB5B82">
              <w:rPr>
                <w:sz w:val="20"/>
                <w:szCs w:val="20"/>
              </w:rPr>
              <w:t xml:space="preserve"> </w:t>
            </w:r>
            <w:r w:rsidR="00EB7B09">
              <w:rPr>
                <w:sz w:val="20"/>
                <w:szCs w:val="20"/>
              </w:rPr>
              <w:t>t</w:t>
            </w:r>
            <w:r w:rsidR="00AB5B82">
              <w:rPr>
                <w:sz w:val="20"/>
                <w:szCs w:val="20"/>
              </w:rPr>
              <w:t xml:space="preserve">raining  and </w:t>
            </w:r>
            <w:r w:rsidR="00DB6EC9">
              <w:rPr>
                <w:sz w:val="20"/>
                <w:szCs w:val="20"/>
              </w:rPr>
              <w:t xml:space="preserve"> conferencing centre;</w:t>
            </w:r>
          </w:p>
          <w:p w:rsidR="00AB5B82" w:rsidRDefault="00AB5B82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C651D">
              <w:rPr>
                <w:sz w:val="20"/>
                <w:szCs w:val="20"/>
              </w:rPr>
              <w:t xml:space="preserve">2.2m for the </w:t>
            </w:r>
            <w:r w:rsidR="00DB6EC9">
              <w:rPr>
                <w:sz w:val="20"/>
                <w:szCs w:val="20"/>
              </w:rPr>
              <w:t>reconfiguration of the remainder of County Hall to provide effective office accommodation in line with the implementation of the council's property strategy.</w:t>
            </w:r>
          </w:p>
          <w:p w:rsidR="00EB7B09" w:rsidRDefault="00EB7B09" w:rsidP="004F621C">
            <w:pPr>
              <w:rPr>
                <w:sz w:val="20"/>
                <w:szCs w:val="20"/>
              </w:rPr>
            </w:pPr>
          </w:p>
          <w:p w:rsidR="00AB5B82" w:rsidRDefault="006D2699" w:rsidP="004F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  <w:r w:rsidR="00AB5B82">
              <w:rPr>
                <w:sz w:val="20"/>
                <w:szCs w:val="20"/>
              </w:rPr>
              <w:t xml:space="preserve"> and conferencing support services to be consolidated with civic and staff catering to create a single service </w:t>
            </w:r>
          </w:p>
          <w:p w:rsidR="004F621C" w:rsidRPr="00AE5F43" w:rsidRDefault="004F621C" w:rsidP="007477AE">
            <w:pPr>
              <w:rPr>
                <w:sz w:val="20"/>
                <w:szCs w:val="20"/>
              </w:rPr>
            </w:pPr>
          </w:p>
        </w:tc>
      </w:tr>
      <w:tr w:rsidR="004A0840" w:rsidTr="00F51AAE">
        <w:tc>
          <w:tcPr>
            <w:tcW w:w="3256" w:type="dxa"/>
          </w:tcPr>
          <w:p w:rsidR="004A0840" w:rsidRPr="0066742C" w:rsidRDefault="004A08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5B233E" w:rsidRDefault="005B233E" w:rsidP="005B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proposal will contribute £500,000 per year to the property savings target from April 2017.</w:t>
            </w:r>
          </w:p>
          <w:p w:rsidR="005B233E" w:rsidRDefault="005B233E" w:rsidP="005B233E">
            <w:pPr>
              <w:rPr>
                <w:sz w:val="20"/>
                <w:szCs w:val="20"/>
              </w:rPr>
            </w:pPr>
          </w:p>
          <w:p w:rsidR="005B233E" w:rsidRDefault="005B233E" w:rsidP="005B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external </w:t>
            </w:r>
            <w:r w:rsidR="00AB5B82">
              <w:rPr>
                <w:sz w:val="20"/>
                <w:szCs w:val="20"/>
              </w:rPr>
              <w:t>courses provided</w:t>
            </w:r>
            <w:r>
              <w:rPr>
                <w:sz w:val="20"/>
                <w:szCs w:val="20"/>
              </w:rPr>
              <w:t xml:space="preserve"> </w:t>
            </w:r>
            <w:r w:rsidR="00EB7B09">
              <w:rPr>
                <w:sz w:val="20"/>
                <w:szCs w:val="20"/>
              </w:rPr>
              <w:t>at Alston</w:t>
            </w:r>
            <w:r>
              <w:rPr>
                <w:sz w:val="20"/>
                <w:szCs w:val="20"/>
              </w:rPr>
              <w:t xml:space="preserve"> Hall will cease from 31</w:t>
            </w:r>
            <w:r w:rsidRPr="005B233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2015.  The LAL College will be asked to consider the viability of making provision for these courses</w:t>
            </w:r>
            <w:r w:rsidR="00AB5B82">
              <w:rPr>
                <w:sz w:val="20"/>
                <w:szCs w:val="20"/>
              </w:rPr>
              <w:t xml:space="preserve"> from other venues. </w:t>
            </w:r>
            <w:r>
              <w:rPr>
                <w:sz w:val="20"/>
                <w:szCs w:val="20"/>
              </w:rPr>
              <w:t>.</w:t>
            </w:r>
          </w:p>
          <w:p w:rsidR="005B233E" w:rsidRPr="00E40C57" w:rsidRDefault="005B233E" w:rsidP="005B233E">
            <w:pPr>
              <w:rPr>
                <w:b/>
                <w:sz w:val="20"/>
                <w:szCs w:val="20"/>
              </w:rPr>
            </w:pPr>
          </w:p>
          <w:p w:rsidR="004A0840" w:rsidRDefault="005B233E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service provision will continue with the</w:t>
            </w:r>
            <w:r w:rsidR="00E40C57">
              <w:rPr>
                <w:sz w:val="20"/>
                <w:szCs w:val="20"/>
              </w:rPr>
              <w:t xml:space="preserve"> centralisati</w:t>
            </w:r>
            <w:r w:rsidR="00EB4DAF">
              <w:rPr>
                <w:sz w:val="20"/>
                <w:szCs w:val="20"/>
              </w:rPr>
              <w:t>on of the training facility within County Hall</w:t>
            </w:r>
            <w:r w:rsidR="00E40C57">
              <w:rPr>
                <w:sz w:val="20"/>
                <w:szCs w:val="20"/>
              </w:rPr>
              <w:t xml:space="preserve"> rather than through 3 separate sites.</w:t>
            </w:r>
            <w:r w:rsidR="001F4A38">
              <w:rPr>
                <w:sz w:val="20"/>
                <w:szCs w:val="20"/>
              </w:rPr>
              <w:t xml:space="preserve"> </w:t>
            </w:r>
            <w:r w:rsidR="00AB5B82">
              <w:rPr>
                <w:sz w:val="20"/>
                <w:szCs w:val="20"/>
              </w:rPr>
              <w:t xml:space="preserve">The County </w:t>
            </w:r>
            <w:r w:rsidR="006D2699">
              <w:rPr>
                <w:sz w:val="20"/>
                <w:szCs w:val="20"/>
              </w:rPr>
              <w:t>Council's City</w:t>
            </w:r>
            <w:r w:rsidR="00AB5B82">
              <w:rPr>
                <w:sz w:val="20"/>
                <w:szCs w:val="20"/>
              </w:rPr>
              <w:t xml:space="preserve"> Learning Centre at Burnley will continue to be used for these </w:t>
            </w:r>
            <w:r w:rsidR="006D2699">
              <w:rPr>
                <w:sz w:val="20"/>
                <w:szCs w:val="20"/>
              </w:rPr>
              <w:t>purposes.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Pr="00CA2B52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centralisation of the facility also contribute to savings in employee travel costs.</w:t>
            </w:r>
          </w:p>
        </w:tc>
      </w:tr>
      <w:tr w:rsidR="004A0840" w:rsidTr="00F51AAE">
        <w:tc>
          <w:tcPr>
            <w:tcW w:w="3256" w:type="dxa"/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lastRenderedPageBreak/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EB4DAF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the proposal closure of Alston Hall by 31</w:t>
            </w:r>
            <w:r w:rsidRPr="00EB4DA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Default="00EB4DAF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new proposals/ new structure for services currently provided at Woodlands and the Leyland Training Centre July 2016.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4A0840" w:rsidRDefault="00DB6EC9" w:rsidP="00EB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s</w:t>
            </w:r>
            <w:r w:rsidR="00EB4DAF">
              <w:rPr>
                <w:sz w:val="20"/>
                <w:szCs w:val="20"/>
              </w:rPr>
              <w:t>tatutory consultation process with Trades Unions with respect to potential for redundancies, July</w:t>
            </w:r>
            <w:r w:rsidR="007303E4">
              <w:rPr>
                <w:sz w:val="20"/>
                <w:szCs w:val="20"/>
              </w:rPr>
              <w:t xml:space="preserve"> </w:t>
            </w:r>
            <w:r w:rsidR="00EB4D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EB4DAF">
              <w:rPr>
                <w:sz w:val="20"/>
                <w:szCs w:val="20"/>
              </w:rPr>
              <w:t>.</w:t>
            </w:r>
            <w:r w:rsidR="00A0773F">
              <w:rPr>
                <w:sz w:val="20"/>
                <w:szCs w:val="20"/>
              </w:rPr>
              <w:t xml:space="preserve">  </w:t>
            </w:r>
          </w:p>
          <w:p w:rsidR="00EB4DAF" w:rsidRDefault="00EB4DAF" w:rsidP="00EB4DAF">
            <w:pPr>
              <w:rPr>
                <w:sz w:val="20"/>
                <w:szCs w:val="20"/>
              </w:rPr>
            </w:pPr>
          </w:p>
          <w:p w:rsidR="00EB4DAF" w:rsidRPr="00084304" w:rsidRDefault="00EB7B09" w:rsidP="00DB6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for</w:t>
            </w:r>
            <w:r w:rsidR="00DB6EC9">
              <w:rPr>
                <w:sz w:val="20"/>
                <w:szCs w:val="20"/>
              </w:rPr>
              <w:t xml:space="preserve"> the redevelopment of </w:t>
            </w:r>
            <w:r w:rsidR="00EB4DAF">
              <w:rPr>
                <w:sz w:val="20"/>
                <w:szCs w:val="20"/>
              </w:rPr>
              <w:t xml:space="preserve">County Hall to provide the new training </w:t>
            </w:r>
            <w:r w:rsidR="00DB6EC9">
              <w:rPr>
                <w:sz w:val="20"/>
                <w:szCs w:val="20"/>
              </w:rPr>
              <w:t>centre</w:t>
            </w:r>
            <w:r w:rsidR="00EB4DAF">
              <w:rPr>
                <w:sz w:val="20"/>
                <w:szCs w:val="20"/>
              </w:rPr>
              <w:t xml:space="preserve"> and the </w:t>
            </w:r>
            <w:r w:rsidR="00DB6EC9">
              <w:rPr>
                <w:sz w:val="20"/>
                <w:szCs w:val="20"/>
              </w:rPr>
              <w:t>provision of effective office accommodation to deliver the council's property strategy</w:t>
            </w:r>
            <w:r w:rsidR="00AB5B82">
              <w:rPr>
                <w:sz w:val="20"/>
                <w:szCs w:val="20"/>
              </w:rPr>
              <w:t xml:space="preserve"> will continue </w:t>
            </w:r>
            <w:r w:rsidR="006D2699">
              <w:rPr>
                <w:sz w:val="20"/>
                <w:szCs w:val="20"/>
              </w:rPr>
              <w:t xml:space="preserve">under </w:t>
            </w:r>
            <w:r>
              <w:rPr>
                <w:sz w:val="20"/>
                <w:szCs w:val="20"/>
              </w:rPr>
              <w:t xml:space="preserve">the </w:t>
            </w:r>
            <w:r w:rsidR="006D2699">
              <w:rPr>
                <w:sz w:val="20"/>
                <w:szCs w:val="20"/>
              </w:rPr>
              <w:t>construction</w:t>
            </w:r>
            <w:r w:rsidR="00AB5B82">
              <w:rPr>
                <w:sz w:val="20"/>
                <w:szCs w:val="20"/>
              </w:rPr>
              <w:t xml:space="preserve"> partner framework arrangements</w:t>
            </w:r>
            <w:r w:rsidR="006D2699">
              <w:rPr>
                <w:sz w:val="20"/>
                <w:szCs w:val="20"/>
              </w:rPr>
              <w:t xml:space="preserve">. </w:t>
            </w:r>
            <w:r w:rsidR="00AB5B82">
              <w:rPr>
                <w:sz w:val="20"/>
                <w:szCs w:val="20"/>
              </w:rPr>
              <w:t xml:space="preserve"> </w:t>
            </w:r>
          </w:p>
        </w:tc>
      </w:tr>
      <w:tr w:rsidR="004A0840" w:rsidTr="00F51AAE">
        <w:tc>
          <w:tcPr>
            <w:tcW w:w="3256" w:type="dxa"/>
          </w:tcPr>
          <w:p w:rsidR="004A0840" w:rsidRPr="00B25405" w:rsidRDefault="004A0840" w:rsidP="00F5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4A0840" w:rsidRDefault="00D02F30" w:rsidP="00F51AAE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D02F30" w:rsidRPr="008039DA" w:rsidRDefault="00D02F30" w:rsidP="00F51AAE">
            <w:pPr>
              <w:rPr>
                <w:sz w:val="20"/>
                <w:szCs w:val="20"/>
              </w:rPr>
            </w:pPr>
          </w:p>
        </w:tc>
      </w:tr>
    </w:tbl>
    <w:p w:rsidR="004A0840" w:rsidRDefault="004A0840" w:rsidP="004A0840"/>
    <w:p w:rsidR="00E103EF" w:rsidRDefault="00D02F30"/>
    <w:sectPr w:rsidR="00E103EF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40"/>
    <w:rsid w:val="00050131"/>
    <w:rsid w:val="000962B0"/>
    <w:rsid w:val="000B07EA"/>
    <w:rsid w:val="000E077B"/>
    <w:rsid w:val="00192F72"/>
    <w:rsid w:val="001F4A38"/>
    <w:rsid w:val="003C651D"/>
    <w:rsid w:val="00460D7A"/>
    <w:rsid w:val="004A0840"/>
    <w:rsid w:val="004F621C"/>
    <w:rsid w:val="00586FD8"/>
    <w:rsid w:val="005B233E"/>
    <w:rsid w:val="005B468F"/>
    <w:rsid w:val="00656DED"/>
    <w:rsid w:val="00666A0D"/>
    <w:rsid w:val="006D2699"/>
    <w:rsid w:val="007303E4"/>
    <w:rsid w:val="007477AE"/>
    <w:rsid w:val="00772F40"/>
    <w:rsid w:val="00790A47"/>
    <w:rsid w:val="008A1F50"/>
    <w:rsid w:val="009B787B"/>
    <w:rsid w:val="00A0773F"/>
    <w:rsid w:val="00A762DD"/>
    <w:rsid w:val="00A81137"/>
    <w:rsid w:val="00A912B7"/>
    <w:rsid w:val="00AB5B82"/>
    <w:rsid w:val="00AE5F43"/>
    <w:rsid w:val="00C96C49"/>
    <w:rsid w:val="00D02F30"/>
    <w:rsid w:val="00DB6EC9"/>
    <w:rsid w:val="00DE4627"/>
    <w:rsid w:val="00E40C57"/>
    <w:rsid w:val="00E41BFB"/>
    <w:rsid w:val="00E53254"/>
    <w:rsid w:val="00E576CE"/>
    <w:rsid w:val="00EB4DAF"/>
    <w:rsid w:val="00EB7B09"/>
    <w:rsid w:val="00F166DF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3E6F-E3BF-4759-A15C-F816304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03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2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Kitto, Lisa</dc:creator>
  <cp:keywords/>
  <dc:description/>
  <cp:lastModifiedBy>Mather, Chris</cp:lastModifiedBy>
  <cp:revision>11</cp:revision>
  <cp:lastPrinted>2015-11-10T08:28:00Z</cp:lastPrinted>
  <dcterms:created xsi:type="dcterms:W3CDTF">2015-11-10T12:39:00Z</dcterms:created>
  <dcterms:modified xsi:type="dcterms:W3CDTF">2015-11-13T18:21:00Z</dcterms:modified>
</cp:coreProperties>
</file>